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130" w:after="0"/>
        <w:jc w:val="center"/>
        <w:rPr>
          <w:rFonts w:ascii="Times New Roman" w:hAnsi="Times New Roman" w:cs="Times New Roman"/>
          <w:color w:val="FF0000"/>
          <w:sz w:val="28"/>
          <w:szCs w:val="28"/>
        </w:rPr>
      </w:pPr>
      <w:r>
        <w:rPr>
          <w:rFonts w:ascii="Calibri" w:hAnsi="Calibri" w:cs="Calibri"/>
          <w:color w:val="FF0000"/>
          <w:sz w:val="28"/>
          <w:sz w:val="28"/>
          <w:szCs w:val="28"/>
          <w:rtl w:val="true"/>
        </w:rPr>
        <w:t>بِسْمِ اللّٰهِ الرَّحْمٰنِ الرَّحِيمِ</w:t>
      </w:r>
    </w:p>
    <w:p>
      <w:pPr>
        <w:pStyle w:val="Normal"/>
        <w:spacing w:lineRule="auto" w:line="240" w:before="130" w:after="0"/>
        <w:jc w:val="center"/>
        <w:rPr>
          <w:rFonts w:ascii="Times New Roman" w:hAnsi="Times New Roman" w:cs="Times New Roman"/>
          <w:color w:val="FF0000"/>
          <w:sz w:val="28"/>
          <w:szCs w:val="28"/>
        </w:rPr>
      </w:pPr>
      <w:r>
        <w:rPr>
          <w:rFonts w:ascii="Calibri" w:hAnsi="Calibri" w:cs="Calibri"/>
          <w:color w:val="FF0000"/>
          <w:sz w:val="28"/>
          <w:sz w:val="28"/>
          <w:szCs w:val="28"/>
          <w:rtl w:val="true"/>
        </w:rPr>
        <w:t>وَ بِهِ نَسْتَعِينُ</w:t>
      </w:r>
    </w:p>
    <w:p>
      <w:pPr>
        <w:pStyle w:val="Normal"/>
        <w:spacing w:lineRule="auto" w:line="240" w:before="130" w:after="0"/>
        <w:jc w:val="center"/>
        <w:rPr>
          <w:rFonts w:ascii="Times New Roman" w:hAnsi="Times New Roman" w:cs="Times New Roman"/>
          <w:color w:val="FF0000"/>
          <w:sz w:val="28"/>
          <w:szCs w:val="28"/>
        </w:rPr>
      </w:pPr>
      <w:r>
        <w:rPr>
          <w:rFonts w:ascii="Calibri" w:hAnsi="Calibri" w:cs="Calibri"/>
          <w:color w:val="FF0000"/>
          <w:sz w:val="28"/>
          <w:sz w:val="28"/>
          <w:szCs w:val="28"/>
          <w:rtl w:val="true"/>
        </w:rPr>
        <w:t>اَلْحَمْدُ لِلّٰهِ رَبِّ الْعَالَمِينَ وَ الصَّلاَةُ وَ السَّلاَمُ عَلَى سَيِّدِنَا مُحَمَّدٍ وَ عَلَى آلِهِ وَ صَحْبِهِ اَجْمَعِينَ</w:t>
      </w:r>
    </w:p>
    <w:p>
      <w:pPr>
        <w:pStyle w:val="Normal"/>
        <w:spacing w:lineRule="auto" w:line="240" w:before="130" w:after="0"/>
        <w:jc w:val="center"/>
        <w:rPr>
          <w:rFonts w:ascii="Calibri" w:hAnsi="Calibri" w:cs="Calibri"/>
          <w:b/>
          <w:b/>
          <w:sz w:val="24"/>
          <w:szCs w:val="24"/>
        </w:rPr>
      </w:pPr>
      <w:r>
        <w:rPr>
          <w:rFonts w:cs="Calibri" w:ascii="Calibri" w:hAnsi="Calibri"/>
          <w:b w:val="false"/>
          <w:bCs w:val="false"/>
          <w:color w:val="0000B0"/>
          <w:sz w:val="28"/>
          <w:szCs w:val="28"/>
        </w:rPr>
        <w:t>İMAN VE İMANA HİZMETİN EHEMMİYETİ</w:t>
      </w:r>
    </w:p>
    <w:p>
      <w:pPr>
        <w:pStyle w:val="Normal"/>
        <w:spacing w:lineRule="auto" w:line="240" w:before="130" w:after="0"/>
        <w:jc w:val="both"/>
        <w:rPr>
          <w:rFonts w:ascii="Calibri" w:hAnsi="Calibri" w:cs="Calibri"/>
          <w:b/>
          <w:b/>
          <w:sz w:val="24"/>
          <w:szCs w:val="24"/>
        </w:rPr>
      </w:pPr>
      <w:r>
        <w:rPr>
          <w:rFonts w:cs="Calibri" w:ascii="Calibri" w:hAnsi="Calibri"/>
          <w:b/>
          <w:sz w:val="24"/>
          <w:szCs w:val="24"/>
        </w:rPr>
        <w:t>Bediüzzaman Hazretleri iki has ve halis talebesinin iman hizmetindeki gayretlerine ve bu hizmeti esas gaye yapmalarına dikkat çekip teşvik eden mektubunda diyor ki;</w:t>
      </w:r>
    </w:p>
    <w:p>
      <w:pPr>
        <w:pStyle w:val="Normal"/>
        <w:spacing w:lineRule="auto" w:line="240" w:before="130" w:after="0"/>
        <w:jc w:val="both"/>
        <w:rPr>
          <w:rFonts w:ascii="Calibri" w:hAnsi="Calibri" w:cs="Calibri"/>
          <w:b/>
          <w:b/>
          <w:sz w:val="24"/>
          <w:szCs w:val="24"/>
        </w:rPr>
      </w:pPr>
      <w:r>
        <w:rPr>
          <w:rFonts w:cs="Calibri" w:ascii="Calibri" w:hAnsi="Calibri"/>
          <w:sz w:val="24"/>
          <w:szCs w:val="24"/>
        </w:rPr>
        <w:t>“</w:t>
      </w:r>
      <w:r>
        <w:rPr>
          <w:rFonts w:cs="Calibri" w:ascii="Calibri" w:hAnsi="Calibri"/>
          <w:sz w:val="24"/>
          <w:szCs w:val="24"/>
        </w:rPr>
        <w:t xml:space="preserve">Bütün makasıd-ı hayatiye içinde en büyük, en mühim maksadları, o nurlu Sözler vasıtasıyla Kur'an'a hizmet biliyorlar. Dünya hayatının netice-i hakikiyesinin ve dünyaya gelmekteki vazife-i fıtriyelerinin en mühimmi, hakaik-i imaniyeye hizmet olduğunu telakkileridir.”  </w:t>
      </w:r>
      <w:r>
        <w:rPr>
          <w:rFonts w:cs="Calibri" w:ascii="Calibri" w:hAnsi="Calibri"/>
          <w:b/>
          <w:sz w:val="24"/>
          <w:szCs w:val="24"/>
        </w:rPr>
        <w:t>(Barla Lahikası: 21)</w:t>
      </w:r>
    </w:p>
    <w:p>
      <w:pPr>
        <w:pStyle w:val="Normal"/>
        <w:spacing w:lineRule="auto" w:line="240" w:before="130" w:after="0"/>
        <w:jc w:val="both"/>
        <w:rPr>
          <w:rFonts w:ascii="Calibri" w:hAnsi="Calibri" w:cs="Calibri"/>
          <w:b/>
          <w:b/>
          <w:sz w:val="24"/>
          <w:szCs w:val="24"/>
        </w:rPr>
      </w:pPr>
      <w:r>
        <w:rPr>
          <w:rFonts w:cs="Calibri" w:ascii="Calibri" w:hAnsi="Calibri"/>
          <w:sz w:val="24"/>
          <w:szCs w:val="24"/>
        </w:rPr>
        <w:t>“</w:t>
      </w:r>
      <w:r>
        <w:rPr>
          <w:rFonts w:cs="Calibri" w:ascii="Calibri" w:hAnsi="Calibri"/>
          <w:sz w:val="24"/>
          <w:szCs w:val="24"/>
        </w:rPr>
        <w:t>Ehl-i imanın imanlarını muhafaza etmek gayreti, en yüksek derecede taşımaları ve ehl-i imanın kalbine gelen şübehat ve evhamdan hasıl olan yaraları tedavi etmek iştiyakı, yüksek bir derece-i şefkatte hissetmeleridir.”</w:t>
      </w:r>
      <w:r>
        <w:rPr>
          <w:rFonts w:cs="Calibri" w:ascii="Calibri" w:hAnsi="Calibri"/>
          <w:b/>
          <w:sz w:val="24"/>
          <w:szCs w:val="24"/>
        </w:rPr>
        <w:t xml:space="preserve"> (Barla Lahikası: 22)</w:t>
      </w:r>
    </w:p>
    <w:p>
      <w:pPr>
        <w:pStyle w:val="Normal"/>
        <w:spacing w:lineRule="auto" w:line="240" w:before="130" w:after="0"/>
        <w:jc w:val="both"/>
        <w:rPr>
          <w:rFonts w:ascii="Calibri" w:hAnsi="Calibri" w:cs="Calibri"/>
        </w:rPr>
      </w:pPr>
      <w:r>
        <w:rPr>
          <w:rFonts w:cs="Calibri" w:ascii="Calibri" w:hAnsi="Calibri"/>
          <w:sz w:val="24"/>
          <w:szCs w:val="24"/>
        </w:rPr>
        <w:t>“</w:t>
      </w:r>
      <w:r>
        <w:rPr>
          <w:rFonts w:cs="Calibri" w:ascii="Calibri" w:hAnsi="Calibri"/>
          <w:sz w:val="24"/>
          <w:szCs w:val="24"/>
        </w:rPr>
        <w:t xml:space="preserve">Aziz kardeşlerim, siz kat'î biliniz ki: Risale-i Nur ve şakirdlerinin meşgul oldukları vazife, rûy-i zemindeki bütün muazzam mesailden daha büyüktür. Onun için dünyevî merak-aver mes'elelere bakıp, vazife-i bâkiyenizde fütur getirmeyiniz. Meyve'nin Dördüncü Mes'elesini çok defa okuyunuz, kuvve-i maneviyeniz kırılmasın.” </w:t>
      </w:r>
      <w:r>
        <w:rPr>
          <w:rFonts w:cs="Calibri" w:ascii="Calibri" w:hAnsi="Calibri"/>
          <w:b/>
          <w:sz w:val="24"/>
          <w:szCs w:val="24"/>
        </w:rPr>
        <w:t>(Emirdağ Lahikası-1: 43)</w:t>
      </w:r>
    </w:p>
    <w:p>
      <w:pPr>
        <w:pStyle w:val="Normal"/>
        <w:spacing w:lineRule="auto" w:line="240" w:before="130" w:after="0"/>
        <w:jc w:val="both"/>
        <w:rPr>
          <w:rFonts w:ascii="Calibri" w:hAnsi="Calibri" w:cs="Calibri"/>
        </w:rPr>
      </w:pPr>
      <w:r>
        <w:rPr>
          <w:rFonts w:cs="Calibri" w:ascii="Calibri" w:hAnsi="Calibri"/>
          <w:b/>
          <w:sz w:val="24"/>
          <w:szCs w:val="24"/>
        </w:rPr>
        <w:t>Hizmet-</w:t>
      </w:r>
      <w:r>
        <w:rPr>
          <w:rFonts w:cs="Calibri" w:ascii="Calibri" w:hAnsi="Calibri"/>
          <w:b/>
          <w:sz w:val="24"/>
          <w:szCs w:val="24"/>
        </w:rPr>
        <w:t>i</w:t>
      </w:r>
      <w:r>
        <w:rPr>
          <w:rFonts w:cs="Calibri" w:ascii="Calibri" w:hAnsi="Calibri"/>
          <w:b/>
          <w:sz w:val="24"/>
          <w:szCs w:val="24"/>
        </w:rPr>
        <w:t xml:space="preserve"> </w:t>
      </w:r>
      <w:r>
        <w:rPr>
          <w:rFonts w:cs="Calibri" w:ascii="Calibri" w:hAnsi="Calibri"/>
          <w:b/>
          <w:sz w:val="24"/>
          <w:szCs w:val="24"/>
        </w:rPr>
        <w:t>i</w:t>
      </w:r>
      <w:r>
        <w:rPr>
          <w:rFonts w:cs="Calibri" w:ascii="Calibri" w:hAnsi="Calibri"/>
          <w:b/>
          <w:sz w:val="24"/>
          <w:szCs w:val="24"/>
        </w:rPr>
        <w:t xml:space="preserve">maniye </w:t>
      </w:r>
      <w:r>
        <w:rPr>
          <w:rFonts w:cs="Calibri" w:ascii="Calibri" w:hAnsi="Calibri"/>
          <w:b/>
          <w:sz w:val="24"/>
          <w:szCs w:val="24"/>
        </w:rPr>
        <w:t>h</w:t>
      </w:r>
      <w:r>
        <w:rPr>
          <w:rFonts w:cs="Calibri" w:ascii="Calibri" w:hAnsi="Calibri"/>
          <w:b/>
          <w:sz w:val="24"/>
          <w:szCs w:val="24"/>
        </w:rPr>
        <w:t>er şeye tercih edilmelidir</w:t>
      </w:r>
      <w:r>
        <w:rPr>
          <w:rFonts w:cs="Calibri"/>
          <w:b/>
          <w:sz w:val="24"/>
          <w:szCs w:val="24"/>
        </w:rPr>
        <w:t>:</w:t>
      </w:r>
    </w:p>
    <w:p>
      <w:pPr>
        <w:pStyle w:val="Normal"/>
        <w:spacing w:lineRule="auto" w:line="240" w:before="130" w:after="0"/>
        <w:jc w:val="both"/>
        <w:rPr>
          <w:rFonts w:ascii="Calibri" w:hAnsi="Calibri" w:cs="Calibri"/>
        </w:rPr>
      </w:pPr>
      <w:r>
        <w:rPr>
          <w:rFonts w:cs="Calibri" w:ascii="Calibri" w:hAnsi="Calibri"/>
          <w:sz w:val="24"/>
          <w:szCs w:val="24"/>
        </w:rPr>
        <w:t>“</w:t>
      </w:r>
      <w:r>
        <w:rPr>
          <w:rFonts w:cs="Calibri" w:ascii="Calibri" w:hAnsi="Calibri"/>
          <w:sz w:val="24"/>
          <w:szCs w:val="24"/>
        </w:rPr>
        <w:t xml:space="preserve">Risale-i Nur'un hizmet-i imaniyesinde bu zamanda binler tahribatçılara mukabil yüzbinler tamiratçı lâzım gelirken, hem benimle lâakal yüzer kâtib ve yardımcı bulunmak ihtiyaç varken, değil çekinmek ve temas etmemek, belki millet ve ehl-i idare takdir ile ve teşvik ile yardım ve temas etmek zarurî iken ve o hizmet-i imaniye hayat-ı bâkiyeye baktığı için hayat-ı fâniyenin meşgalelerine ve faidelerine tercih etmek ehl-i imana vâcib iken..” </w:t>
      </w:r>
      <w:r>
        <w:rPr>
          <w:rFonts w:cs="Calibri" w:ascii="Calibri" w:hAnsi="Calibri"/>
          <w:b/>
          <w:sz w:val="24"/>
          <w:szCs w:val="24"/>
        </w:rPr>
        <w:t>Şualar (680) diyerek hizmet-i imaniyenin her şeyin üstünde bir esas gaye olduğunu bildirmektedir.</w:t>
      </w:r>
    </w:p>
    <w:p>
      <w:pPr>
        <w:pStyle w:val="Normal"/>
        <w:spacing w:lineRule="auto" w:line="240" w:before="130" w:after="0"/>
        <w:jc w:val="both"/>
        <w:rPr>
          <w:rFonts w:ascii="Calibri" w:hAnsi="Calibri" w:cs="Calibri"/>
        </w:rPr>
      </w:pPr>
      <w:r>
        <w:rPr>
          <w:rFonts w:cs="Calibri" w:ascii="Calibri" w:hAnsi="Calibri"/>
          <w:sz w:val="24"/>
          <w:szCs w:val="24"/>
        </w:rPr>
        <w:t>“</w:t>
      </w:r>
      <w:r>
        <w:rPr>
          <w:rFonts w:cs="Calibri" w:ascii="Calibri" w:hAnsi="Calibri"/>
          <w:sz w:val="24"/>
          <w:szCs w:val="24"/>
        </w:rPr>
        <w:t xml:space="preserve">Her şakirdin vazifesi, yalnız kendi imanını kurtarmak değil; belki başkasının imanlarını da muhafaza etmeye mükelleftir. O da hizmete ciddî devam ile olur.” </w:t>
      </w:r>
      <w:r>
        <w:rPr>
          <w:rFonts w:cs="Calibri" w:ascii="Calibri" w:hAnsi="Calibri"/>
          <w:b/>
          <w:sz w:val="24"/>
          <w:szCs w:val="24"/>
        </w:rPr>
        <w:t xml:space="preserve">(Kastamonu Lahikası: 202) </w:t>
      </w:r>
    </w:p>
    <w:p>
      <w:pPr>
        <w:pStyle w:val="Normal"/>
        <w:spacing w:lineRule="auto" w:line="240" w:before="130" w:after="0"/>
        <w:jc w:val="both"/>
        <w:rPr>
          <w:rFonts w:ascii="Calibri" w:hAnsi="Calibri" w:cs="Calibri"/>
        </w:rPr>
      </w:pPr>
      <w:r>
        <w:rPr>
          <w:rFonts w:cs="Calibri" w:ascii="Calibri" w:hAnsi="Calibri"/>
          <w:sz w:val="24"/>
          <w:szCs w:val="24"/>
        </w:rPr>
        <w:t>“</w:t>
      </w:r>
      <w:r>
        <w:rPr>
          <w:rFonts w:cs="Calibri" w:ascii="Calibri" w:hAnsi="Calibri"/>
          <w:sz w:val="24"/>
          <w:szCs w:val="24"/>
        </w:rPr>
        <w:t xml:space="preserve">Eğer perde-i gayb açılsa, bu sebatsız zamanda böyle sebat gösteren ve bu yakıcı, ateşli hallerden sarsılmayan bu samimî dindarlar ve ciddî müslümanlar eğer herbiri bir veli, hattâ bir kutub görünse, benim nazarımda şimdi verdiğim ehemmiyeti ve alâkayı pek az ziyadeleştirecek ve eğer birer âmi ve âdi görünse, şimdi verdiğim kıymeti hiç noksan etmeyecek..” </w:t>
      </w:r>
      <w:r>
        <w:rPr>
          <w:rFonts w:cs="Calibri" w:ascii="Calibri" w:hAnsi="Calibri"/>
          <w:b/>
          <w:sz w:val="24"/>
          <w:szCs w:val="24"/>
        </w:rPr>
        <w:t>(Şualar: 307)</w:t>
      </w:r>
    </w:p>
    <w:p>
      <w:pPr>
        <w:pStyle w:val="Normal"/>
        <w:spacing w:lineRule="auto" w:line="240" w:before="130" w:after="0"/>
        <w:jc w:val="both"/>
        <w:rPr>
          <w:rFonts w:ascii="Calibri" w:hAnsi="Calibri" w:cs="Calibri"/>
          <w:b/>
          <w:b/>
          <w:sz w:val="24"/>
          <w:szCs w:val="24"/>
        </w:rPr>
      </w:pPr>
      <w:r>
        <w:rPr>
          <w:rFonts w:cs="Calibri" w:ascii="Calibri" w:hAnsi="Calibri"/>
          <w:sz w:val="24"/>
          <w:szCs w:val="24"/>
        </w:rPr>
        <w:t>“</w:t>
      </w:r>
      <w:r>
        <w:rPr>
          <w:rFonts w:cs="Calibri" w:ascii="Calibri" w:hAnsi="Calibri"/>
          <w:sz w:val="24"/>
          <w:szCs w:val="24"/>
        </w:rPr>
        <w:t>Kader-i İlahî, bu yanlışı tashih etmek ve o ihtimali izale etmek ve öyle ümid besleyenlerin ümidlerini ta'dil etmek için, en ziyade öyle cihetlerde yardım ve iltihaka koşacak olan ülemadan ve sâdâttan ve meşayihten ve ahbabdan ve hemşehriden birisini muarız çıkardı; o ifratı ta'dil edip adalet etti. "</w:t>
      </w:r>
      <w:r>
        <w:rPr>
          <w:rFonts w:cs="Calibri" w:ascii="Calibri" w:hAnsi="Calibri"/>
          <w:b/>
          <w:sz w:val="24"/>
          <w:szCs w:val="24"/>
        </w:rPr>
        <w:t>Size kâinatın en büyük mes'elesi olan iman hizmeti yeter</w:t>
      </w:r>
      <w:r>
        <w:rPr>
          <w:rFonts w:cs="Calibri" w:ascii="Calibri" w:hAnsi="Calibri"/>
          <w:sz w:val="24"/>
          <w:szCs w:val="24"/>
        </w:rPr>
        <w:t>"</w:t>
      </w:r>
      <w:r>
        <w:rPr>
          <w:rFonts w:cs="Calibri" w:ascii="Calibri" w:hAnsi="Calibri"/>
          <w:b/>
          <w:sz w:val="24"/>
          <w:szCs w:val="24"/>
        </w:rPr>
        <w:t xml:space="preserve"> </w:t>
      </w:r>
      <w:r>
        <w:rPr>
          <w:rFonts w:cs="Calibri" w:ascii="Calibri" w:hAnsi="Calibri"/>
          <w:sz w:val="24"/>
          <w:szCs w:val="24"/>
        </w:rPr>
        <w:t xml:space="preserve">diye bizi merhametkârane o hâdiseye mahkûm eyledi.” </w:t>
      </w:r>
      <w:r>
        <w:rPr>
          <w:rFonts w:cs="Calibri" w:ascii="Calibri" w:hAnsi="Calibri"/>
          <w:b/>
          <w:sz w:val="24"/>
          <w:szCs w:val="24"/>
        </w:rPr>
        <w:t xml:space="preserve">(Kastamonu Lahikası: 193) </w:t>
      </w:r>
    </w:p>
    <w:p>
      <w:pPr>
        <w:pStyle w:val="Normal"/>
        <w:spacing w:lineRule="auto" w:line="240" w:before="130" w:after="0"/>
        <w:jc w:val="both"/>
        <w:rPr>
          <w:rFonts w:ascii="Calibri" w:hAnsi="Calibri" w:cs="Calibri"/>
        </w:rPr>
      </w:pPr>
      <w:r>
        <w:rPr>
          <w:rFonts w:cs="Calibri" w:ascii="Calibri" w:hAnsi="Calibri"/>
          <w:sz w:val="24"/>
          <w:szCs w:val="24"/>
        </w:rPr>
        <w:t>“</w:t>
      </w:r>
      <w:r>
        <w:rPr>
          <w:rFonts w:cs="Calibri" w:ascii="Calibri" w:hAnsi="Calibri"/>
          <w:sz w:val="24"/>
          <w:szCs w:val="24"/>
        </w:rPr>
        <w:t>Evet bu asrın dehşetine karşı taklidî olan itikadın istinad kal'aları sarsılmış ve uzaklaşmış ve perdelenmiş olduğundan; her mü'min, tek başıyla dalaletin cemaatle hücumuna mukavemet ettirecek gayet kuvvetli bir iman-ı tahkikî lâzımdır ki dayanabilsin. Risale-i Nur bu vazifeyi; en dehşetli bir zamanda ve en lüzumlu nazik bir vakitte, herkesin anlayacağı bir tarzda; hakaik-i Kur'aniye ve imaniyenin en derin ve en gizlilerini, gayet kuvvetli bürhanlar ile isbat ederek; o iman-ı tahkikîyi taşıyan hâlis ve sadık şakirdleri dahi, bulundukları kasaba ve karye ve şehirlerde -</w:t>
      </w:r>
      <w:r>
        <w:rPr>
          <w:rFonts w:cs="Calibri" w:ascii="Calibri" w:hAnsi="Calibri"/>
          <w:b/>
          <w:sz w:val="24"/>
          <w:szCs w:val="24"/>
        </w:rPr>
        <w:t>hizmet-i imaniye itibariyle</w:t>
      </w:r>
      <w:r>
        <w:rPr>
          <w:rFonts w:cs="Calibri" w:ascii="Calibri" w:hAnsi="Calibri"/>
          <w:sz w:val="24"/>
          <w:szCs w:val="24"/>
        </w:rPr>
        <w:t>- âdeta birer gizli kutub gibi, mü'minlerin manevî birer nokta-i istinadı olarak, bilinmedikleri ve görünmedikleri ve görüşülmedikleri halde, kuvve-i maneviye-i itikadları cesur birer zabit gibi; kuvve-i maneviyeyi, ehl-i imanın kalblerine verip, mü'minlere manen mukavemet ve cesaret veriyorlar.”</w:t>
      </w:r>
      <w:r>
        <w:rPr>
          <w:rFonts w:cs="Calibri" w:ascii="Calibri" w:hAnsi="Calibri"/>
          <w:b/>
          <w:sz w:val="24"/>
          <w:szCs w:val="24"/>
        </w:rPr>
        <w:t xml:space="preserve"> (Mektubat:466 - 467)</w:t>
      </w:r>
    </w:p>
    <w:p>
      <w:pPr>
        <w:pStyle w:val="Normal"/>
        <w:spacing w:lineRule="auto" w:line="240" w:before="130" w:after="0"/>
        <w:jc w:val="both"/>
        <w:rPr>
          <w:rFonts w:ascii="Calibri" w:hAnsi="Calibri" w:cs="Calibri"/>
        </w:rPr>
      </w:pPr>
      <w:r>
        <w:rPr>
          <w:rFonts w:cs="Calibri" w:ascii="Calibri" w:hAnsi="Calibri"/>
          <w:sz w:val="24"/>
          <w:szCs w:val="24"/>
        </w:rPr>
        <w:t>“</w:t>
      </w:r>
      <w:r>
        <w:rPr>
          <w:rFonts w:cs="Calibri" w:ascii="Calibri" w:hAnsi="Calibri"/>
          <w:sz w:val="24"/>
          <w:szCs w:val="24"/>
        </w:rPr>
        <w:t xml:space="preserve">Başta </w:t>
      </w:r>
      <w:r>
        <w:rPr>
          <w:rFonts w:ascii="Calibri" w:hAnsi="Calibri" w:cs="Calibri"/>
          <w:color w:val="FF0000"/>
          <w:sz w:val="28"/>
          <w:sz w:val="28"/>
          <w:szCs w:val="28"/>
          <w:rtl w:val="true"/>
        </w:rPr>
        <w:t>لاَ اِكْرَاهَ فِى الدِّينِ قَدْ تَبَيَّنَ الرُّشْدُ</w:t>
      </w:r>
      <w:r>
        <w:rPr>
          <w:rFonts w:ascii="Calibri" w:hAnsi="Calibri" w:cs="Calibri"/>
          <w:color w:val="FF0000"/>
          <w:sz w:val="24"/>
          <w:sz w:val="24"/>
          <w:szCs w:val="24"/>
        </w:rPr>
        <w:t xml:space="preserve"> </w:t>
      </w:r>
      <w:r>
        <w:rPr>
          <w:rFonts w:cs="Calibri" w:ascii="Calibri" w:hAnsi="Calibri"/>
          <w:sz w:val="24"/>
          <w:szCs w:val="24"/>
        </w:rPr>
        <w:t xml:space="preserve">cümlesi, makam-ı cifrî ve ebcedî ile bin üçyüz elli (1350) tarihine parmak basar ve mana-yı işarî ile der: Gerçi o tarihte, dini dünyadan tefrik ile dinde ikraha ve icbara ve mücahede-i diniyeye ve din için silâhla cihada muarız olan hürriyet-i vicdan, hükûmetlerde bir kanun-u esasî, bir düstur-u siyasî oluyor ve hükûmet lâik cumhuriyete döner. Fakat ona mukabil manevî bir cihad-ı dinî, iman-ı tahkikî kılıncıyla olacak. Çünki dindeki rüşd ü irşad ve hak ve hakikatı gözlere gösterecek derecede kuvvetli bürhanları izhar edip tebyin ve tebeyyün eden bir nur Kur'an'dan çıkacak diye haber verip, bir lem'a-i i'caz gösterir.” </w:t>
      </w:r>
      <w:r>
        <w:rPr>
          <w:rFonts w:cs="Calibri" w:ascii="Calibri" w:hAnsi="Calibri"/>
          <w:b/>
          <w:sz w:val="24"/>
          <w:szCs w:val="24"/>
        </w:rPr>
        <w:t>(Şualar:271 )</w:t>
      </w:r>
    </w:p>
    <w:p>
      <w:pPr>
        <w:pStyle w:val="Normal"/>
        <w:spacing w:lineRule="auto" w:line="240" w:before="130" w:after="0"/>
        <w:jc w:val="both"/>
        <w:rPr>
          <w:rFonts w:ascii="Calibri" w:hAnsi="Calibri" w:cs="Calibri"/>
        </w:rPr>
      </w:pPr>
      <w:r>
        <w:rPr>
          <w:rFonts w:cs="Calibri" w:ascii="Calibri" w:hAnsi="Calibri"/>
          <w:sz w:val="24"/>
          <w:szCs w:val="24"/>
        </w:rPr>
        <w:t>“</w:t>
      </w:r>
      <w:r>
        <w:rPr>
          <w:rFonts w:cs="Calibri" w:ascii="Calibri" w:hAnsi="Calibri"/>
          <w:sz w:val="24"/>
          <w:szCs w:val="24"/>
        </w:rPr>
        <w:t xml:space="preserve">Biz, imanı kurtarmak ve Kur'ana hizmet için, Mekke'de olsam da buraya gelmek lâzımdı. Çünki en ziyade burada ihtiyaç var. Binler ruhum olsa, binler hastalıklara mübtela olsam ve zahmetler çeksem, yine bu milletin imanına ve saadetine hizmet için burada kalmağa Kur'andan aldığım dersle karar verdim ve vermişiz.” </w:t>
      </w:r>
      <w:r>
        <w:rPr>
          <w:rFonts w:cs="Calibri" w:ascii="Calibri" w:hAnsi="Calibri"/>
          <w:b/>
          <w:sz w:val="24"/>
          <w:szCs w:val="24"/>
        </w:rPr>
        <w:t>(Emirdağ Lahikası-1: 195)</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alibri">
    <w:charset w:val="01"/>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tr-TR"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tr-TR" w:eastAsia="en-US" w:bidi="ar-SA"/>
    </w:rPr>
  </w:style>
  <w:style w:type="character" w:styleId="DefaultParagraphFont" w:default="1">
    <w:name w:val="Default Paragraph Font"/>
    <w:uiPriority w:val="1"/>
    <w:semiHidden/>
    <w:unhideWhenUsed/>
    <w:qFormat/>
    <w:rPr/>
  </w:style>
  <w:style w:type="paragraph" w:styleId="Balk">
    <w:name w:val="Başlık"/>
    <w:basedOn w:val="Normal"/>
    <w:next w:val="MetinGvdesi"/>
    <w:qFormat/>
    <w:pPr>
      <w:keepNext w:val="true"/>
      <w:spacing w:before="240" w:after="120"/>
    </w:pPr>
    <w:rPr>
      <w:rFonts w:ascii="Liberation Sans" w:hAnsi="Liberation Sans" w:eastAsia="Microsoft YaHei" w:cs="Arial"/>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Arial"/>
    </w:rPr>
  </w:style>
  <w:style w:type="paragraph" w:styleId="ResimYazs">
    <w:name w:val="Caption"/>
    <w:basedOn w:val="Normal"/>
    <w:qFormat/>
    <w:pPr>
      <w:suppressLineNumbers/>
      <w:spacing w:before="120" w:after="120"/>
    </w:pPr>
    <w:rPr>
      <w:rFonts w:cs="Arial"/>
      <w:i/>
      <w:iCs/>
      <w:sz w:val="24"/>
      <w:szCs w:val="24"/>
    </w:rPr>
  </w:style>
  <w:style w:type="paragraph" w:styleId="Dizin">
    <w:name w:val="Dizin"/>
    <w:basedOn w:val="Normal"/>
    <w:qFormat/>
    <w:pPr>
      <w:suppressLineNumbers/>
    </w:pPr>
    <w:rPr>
      <w:rFonts w:cs="Arial"/>
    </w:rPr>
  </w:style>
  <w:style w:type="numbering" w:styleId="NoList" w:default="1">
    <w:name w:val="No List"/>
    <w:uiPriority w:val="99"/>
    <w:semiHidden/>
    <w:unhideWhenUsed/>
    <w:qFormat/>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Application>LibreOffice/6.3.1.2$Windows_X86_64 LibreOffice_project/b79626edf0065ac373bd1df5c28bd630b4424273</Application>
  <Pages>2</Pages>
  <Words>666</Words>
  <Characters>4047</Characters>
  <CharactersWithSpaces>4700</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
  <cp:revision>5</cp:revision>
  <dcterms:created xsi:type="dcterms:W3CDTF">2018-12-10T20:59:00Z</dcterms:created>
  <dcterms:modified xsi:type="dcterms:W3CDTF">2019-10-13T14:13:19Z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